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F0" w:rsidRDefault="00691C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2857500" cy="1571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-Conference-Image-19-12-05-e158257136842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6"/>
                    <a:stretch/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CF0" w:rsidRDefault="00691CF0"/>
    <w:p w:rsidR="00691CF0" w:rsidRDefault="00691CF0"/>
    <w:p w:rsidR="00691CF0" w:rsidRDefault="00691CF0"/>
    <w:p w:rsidR="003F7C2B" w:rsidRDefault="00691CF0"/>
    <w:p w:rsidR="00691CF0" w:rsidRDefault="00691CF0"/>
    <w:p w:rsidR="00691CF0" w:rsidRDefault="00691CF0"/>
    <w:p w:rsidR="00691CF0" w:rsidRDefault="00691CF0">
      <w:bookmarkStart w:id="0" w:name="_GoBack"/>
      <w:bookmarkEnd w:id="0"/>
      <w:r>
        <w:t xml:space="preserve">The Supervision of Peer Workforce Conference on Wednesday, March 25, 2020, which was presented virtually via Zoom, drew 592 registrants from 30 states and six other countries. Organized by SHARE! </w:t>
      </w:r>
      <w:proofErr w:type="gramStart"/>
      <w:r>
        <w:t>the</w:t>
      </w:r>
      <w:proofErr w:type="gramEnd"/>
      <w:r>
        <w:t xml:space="preserve"> Self-Help And Recovery Exchange, it featured 22 presentations. It was funded by </w:t>
      </w:r>
      <w:r w:rsidRPr="00691CF0">
        <w:t>the California Office of Statewide Health Planning &amp; Development</w:t>
      </w:r>
      <w:hyperlink r:id="rId5" w:history="1">
        <w:r w:rsidRPr="00691CF0">
          <w:t xml:space="preserve"> (OSHPD)</w:t>
        </w:r>
      </w:hyperlink>
      <w:r>
        <w:t>.</w:t>
      </w:r>
    </w:p>
    <w:p w:rsidR="00691CF0" w:rsidRPr="00691CF0" w:rsidRDefault="00691CF0">
      <w:pPr>
        <w:rPr>
          <w:b/>
        </w:rPr>
      </w:pPr>
      <w:r w:rsidRPr="00691CF0">
        <w:rPr>
          <w:b/>
        </w:rPr>
        <w:t>REGISTRANT INFO</w:t>
      </w:r>
    </w:p>
    <w:p w:rsidR="00691CF0" w:rsidRDefault="00691CF0">
      <w:r>
        <w:rPr>
          <w:noProof/>
        </w:rPr>
        <w:drawing>
          <wp:inline distT="0" distB="0" distL="0" distR="0" wp14:anchorId="49E08A63" wp14:editId="54B62298">
            <wp:extent cx="6705600" cy="23717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1CF0" w:rsidRDefault="00691CF0"/>
    <w:p w:rsidR="00691CF0" w:rsidRDefault="00691CF0">
      <w:r>
        <w:rPr>
          <w:noProof/>
        </w:rPr>
        <w:drawing>
          <wp:inline distT="0" distB="0" distL="0" distR="0" wp14:anchorId="1AE01996" wp14:editId="2F4EC40D">
            <wp:extent cx="6638925" cy="15621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9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0"/>
    <w:rsid w:val="00474063"/>
    <w:rsid w:val="00691CF0"/>
    <w:rsid w:val="009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667A5-2382-47F6-A453-FF7C9894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1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1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oshpd.ca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INTHIA\UserShares$\LHartigan\My%20Documents\SHARE!\Training\OSHPD%20Local\Local%20Conference\Registered%20Attendees\Registrants2%2020-03-2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INTHIA\UserShares$\LHartigan\My%20Documents\SHARE!\Training\OSHPD%20Local\Local%20Conference\Registered%20Attendees\Registrants2%2020-03-2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[Registrants2 20-03-26.xlsx]States!PivotTable1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United States Registrants</a:t>
            </a:r>
            <a:r>
              <a:rPr lang="en-US" b="1" baseline="0"/>
              <a:t> by State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States!$B$3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States!$A$4:$A$35</c:f>
              <c:strCache>
                <c:ptCount val="31"/>
                <c:pt idx="0">
                  <c:v>Alabama</c:v>
                </c:pt>
                <c:pt idx="1">
                  <c:v>Arizona</c:v>
                </c:pt>
                <c:pt idx="2">
                  <c:v>California</c:v>
                </c:pt>
                <c:pt idx="3">
                  <c:v>Colorado</c:v>
                </c:pt>
                <c:pt idx="4">
                  <c:v>Connecticut</c:v>
                </c:pt>
                <c:pt idx="5">
                  <c:v>Florida</c:v>
                </c:pt>
                <c:pt idx="6">
                  <c:v>Georgia</c:v>
                </c:pt>
                <c:pt idx="7">
                  <c:v>Idaho</c:v>
                </c:pt>
                <c:pt idx="8">
                  <c:v>Illinois</c:v>
                </c:pt>
                <c:pt idx="9">
                  <c:v>Indiana</c:v>
                </c:pt>
                <c:pt idx="10">
                  <c:v>Iowa</c:v>
                </c:pt>
                <c:pt idx="11">
                  <c:v>Kansas</c:v>
                </c:pt>
                <c:pt idx="12">
                  <c:v>Los Angeles</c:v>
                </c:pt>
                <c:pt idx="13">
                  <c:v>Louisiana</c:v>
                </c:pt>
                <c:pt idx="14">
                  <c:v>Maryland</c:v>
                </c:pt>
                <c:pt idx="15">
                  <c:v>Massachusetts</c:v>
                </c:pt>
                <c:pt idx="16">
                  <c:v>Michigan</c:v>
                </c:pt>
                <c:pt idx="17">
                  <c:v>Minnesota</c:v>
                </c:pt>
                <c:pt idx="18">
                  <c:v>Missouri</c:v>
                </c:pt>
                <c:pt idx="19">
                  <c:v>Nevada</c:v>
                </c:pt>
                <c:pt idx="20">
                  <c:v>New Jersey</c:v>
                </c:pt>
                <c:pt idx="21">
                  <c:v>New York</c:v>
                </c:pt>
                <c:pt idx="22">
                  <c:v>North Carolina</c:v>
                </c:pt>
                <c:pt idx="23">
                  <c:v>Ohio</c:v>
                </c:pt>
                <c:pt idx="24">
                  <c:v>Oregon</c:v>
                </c:pt>
                <c:pt idx="25">
                  <c:v>Pennsylvania</c:v>
                </c:pt>
                <c:pt idx="26">
                  <c:v>Tennessee</c:v>
                </c:pt>
                <c:pt idx="27">
                  <c:v>Texas</c:v>
                </c:pt>
                <c:pt idx="28">
                  <c:v>Virginia</c:v>
                </c:pt>
                <c:pt idx="29">
                  <c:v>Washington</c:v>
                </c:pt>
                <c:pt idx="30">
                  <c:v>(blank)</c:v>
                </c:pt>
              </c:strCache>
            </c:strRef>
          </c:cat>
          <c:val>
            <c:numRef>
              <c:f>States!$B$4:$B$35</c:f>
              <c:numCache>
                <c:formatCode>General</c:formatCode>
                <c:ptCount val="31"/>
                <c:pt idx="0">
                  <c:v>1</c:v>
                </c:pt>
                <c:pt idx="1">
                  <c:v>17</c:v>
                </c:pt>
                <c:pt idx="2">
                  <c:v>273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9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7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29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3</c:v>
                </c:pt>
                <c:pt idx="21">
                  <c:v>125</c:v>
                </c:pt>
                <c:pt idx="22">
                  <c:v>3</c:v>
                </c:pt>
                <c:pt idx="23">
                  <c:v>2</c:v>
                </c:pt>
                <c:pt idx="24">
                  <c:v>15</c:v>
                </c:pt>
                <c:pt idx="25">
                  <c:v>2</c:v>
                </c:pt>
                <c:pt idx="26">
                  <c:v>1</c:v>
                </c:pt>
                <c:pt idx="27">
                  <c:v>9</c:v>
                </c:pt>
                <c:pt idx="28">
                  <c:v>1</c:v>
                </c:pt>
                <c:pt idx="2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893448"/>
        <c:axId val="329893840"/>
      </c:barChart>
      <c:catAx>
        <c:axId val="329893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893840"/>
        <c:crosses val="autoZero"/>
        <c:auto val="1"/>
        <c:lblAlgn val="ctr"/>
        <c:lblOffset val="100"/>
        <c:noMultiLvlLbl val="0"/>
      </c:catAx>
      <c:valAx>
        <c:axId val="32989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893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[Registrants2 20-03-26.xlsx]Nations!PivotTable7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Registrants from other</a:t>
            </a:r>
            <a:r>
              <a:rPr lang="en-US" b="1" baseline="0"/>
              <a:t> countries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Nations!$B$3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Nations!$A$4:$A$10</c:f>
              <c:strCache>
                <c:ptCount val="6"/>
                <c:pt idx="0">
                  <c:v>Australia</c:v>
                </c:pt>
                <c:pt idx="1">
                  <c:v>Canada</c:v>
                </c:pt>
                <c:pt idx="2">
                  <c:v>Netherlands</c:v>
                </c:pt>
                <c:pt idx="3">
                  <c:v>Norway</c:v>
                </c:pt>
                <c:pt idx="4">
                  <c:v>United Kingdom</c:v>
                </c:pt>
                <c:pt idx="5">
                  <c:v>Zimbabwe</c:v>
                </c:pt>
              </c:strCache>
            </c:strRef>
          </c:cat>
          <c:val>
            <c:numRef>
              <c:f>Nations!$B$4:$B$10</c:f>
              <c:numCache>
                <c:formatCode>General</c:formatCode>
                <c:ptCount val="6"/>
                <c:pt idx="0">
                  <c:v>29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804664"/>
        <c:axId val="321803880"/>
      </c:barChart>
      <c:catAx>
        <c:axId val="32180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803880"/>
        <c:crosses val="autoZero"/>
        <c:auto val="1"/>
        <c:lblAlgn val="ctr"/>
        <c:lblOffset val="100"/>
        <c:noMultiLvlLbl val="0"/>
      </c:catAx>
      <c:valAx>
        <c:axId val="32180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804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 Designs, LTD.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Hartigan</dc:creator>
  <cp:keywords/>
  <dc:description/>
  <cp:lastModifiedBy>Libby Hartigan</cp:lastModifiedBy>
  <cp:revision>1</cp:revision>
  <dcterms:created xsi:type="dcterms:W3CDTF">2020-04-01T19:50:00Z</dcterms:created>
  <dcterms:modified xsi:type="dcterms:W3CDTF">2020-04-01T19:57:00Z</dcterms:modified>
</cp:coreProperties>
</file>